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280C" w14:textId="577F6306" w:rsidR="00CF2E51" w:rsidRPr="00494476" w:rsidRDefault="00CF2E51" w:rsidP="00B24968">
      <w:pPr>
        <w:spacing w:after="120"/>
        <w:jc w:val="both"/>
        <w:rPr>
          <w:rFonts w:ascii="Calibri" w:hAnsi="Calibri"/>
          <w:sz w:val="20"/>
          <w:lang w:val="hu-HU"/>
        </w:rPr>
      </w:pPr>
      <w:bookmarkStart w:id="0" w:name="_Toc527188340"/>
      <w:r w:rsidRPr="00494476">
        <w:rPr>
          <w:rFonts w:ascii="Calibri" w:hAnsi="Calibri"/>
          <w:sz w:val="20"/>
          <w:lang w:val="hu-HU"/>
        </w:rPr>
        <w:t xml:space="preserve">A hazai sós ropogtatnivalók piacának vezető gyártójaként kiemelt felelősséggel kezeljük az alapvető élelmiszerbiztonsági követelményeknek való megfelelés mellett a vállalatunk környezetre gyakorolt hatásait, beleértve az energiafelhasználással összefüggő környezeti terhelések csökkentését, </w:t>
      </w:r>
      <w:r w:rsidR="00036B0E" w:rsidRPr="00494476">
        <w:rPr>
          <w:rFonts w:ascii="Calibri" w:hAnsi="Calibri"/>
          <w:sz w:val="20"/>
          <w:lang w:val="hu-HU"/>
        </w:rPr>
        <w:t>mindezekkel</w:t>
      </w:r>
      <w:r w:rsidRPr="00494476">
        <w:rPr>
          <w:rFonts w:ascii="Calibri" w:hAnsi="Calibri"/>
          <w:sz w:val="20"/>
          <w:lang w:val="hu-HU"/>
        </w:rPr>
        <w:t xml:space="preserve"> </w:t>
      </w:r>
      <w:r w:rsidR="00DE4551" w:rsidRPr="00494476">
        <w:rPr>
          <w:rFonts w:ascii="Calibri" w:hAnsi="Calibri"/>
          <w:sz w:val="20"/>
          <w:lang w:val="hu-HU"/>
        </w:rPr>
        <w:t>összefüggésben,</w:t>
      </w:r>
      <w:r w:rsidRPr="00494476">
        <w:rPr>
          <w:rFonts w:ascii="Calibri" w:hAnsi="Calibri"/>
          <w:sz w:val="20"/>
          <w:lang w:val="hu-HU"/>
        </w:rPr>
        <w:t xml:space="preserve"> a győri gyárunkban az </w:t>
      </w:r>
      <w:r w:rsidR="0069123F" w:rsidRPr="00494476">
        <w:rPr>
          <w:rFonts w:ascii="Calibri" w:hAnsi="Calibri"/>
          <w:sz w:val="20"/>
          <w:lang w:val="hu-HU"/>
        </w:rPr>
        <w:t>energia</w:t>
      </w:r>
      <w:r w:rsidR="00FB2A20" w:rsidRPr="00494476">
        <w:rPr>
          <w:rFonts w:ascii="Calibri" w:hAnsi="Calibri"/>
          <w:sz w:val="20"/>
          <w:lang w:val="hu-HU"/>
        </w:rPr>
        <w:t xml:space="preserve">gazdálkodási </w:t>
      </w:r>
      <w:r w:rsidR="0069123F" w:rsidRPr="00494476">
        <w:rPr>
          <w:rFonts w:ascii="Calibri" w:hAnsi="Calibri"/>
          <w:sz w:val="20"/>
          <w:lang w:val="hu-HU"/>
        </w:rPr>
        <w:t xml:space="preserve">teljesítmény </w:t>
      </w:r>
      <w:r w:rsidRPr="00494476">
        <w:rPr>
          <w:rFonts w:ascii="Calibri" w:hAnsi="Calibri"/>
          <w:sz w:val="20"/>
          <w:lang w:val="hu-HU"/>
        </w:rPr>
        <w:t>növelését</w:t>
      </w:r>
      <w:r w:rsidR="00036B0E" w:rsidRPr="00494476">
        <w:rPr>
          <w:rFonts w:ascii="Calibri" w:hAnsi="Calibri"/>
          <w:sz w:val="20"/>
          <w:lang w:val="hu-HU"/>
        </w:rPr>
        <w:t>, hatékony energiagazdálkodás működ</w:t>
      </w:r>
      <w:r w:rsidR="008675D1" w:rsidRPr="00494476">
        <w:rPr>
          <w:rFonts w:ascii="Calibri" w:hAnsi="Calibri"/>
          <w:sz w:val="20"/>
          <w:lang w:val="hu-HU"/>
        </w:rPr>
        <w:t>tet</w:t>
      </w:r>
      <w:r w:rsidR="00036B0E" w:rsidRPr="00494476">
        <w:rPr>
          <w:rFonts w:ascii="Calibri" w:hAnsi="Calibri"/>
          <w:sz w:val="20"/>
          <w:lang w:val="hu-HU"/>
        </w:rPr>
        <w:t>ését</w:t>
      </w:r>
      <w:r w:rsidRPr="00494476">
        <w:rPr>
          <w:rFonts w:ascii="Calibri" w:hAnsi="Calibri"/>
          <w:sz w:val="20"/>
          <w:lang w:val="hu-HU"/>
        </w:rPr>
        <w:t>.</w:t>
      </w:r>
    </w:p>
    <w:p w14:paraId="2B2F05D0" w14:textId="175A13F4" w:rsidR="00036B0E" w:rsidRPr="00494476" w:rsidRDefault="00036B0E" w:rsidP="008D6B04">
      <w:pPr>
        <w:pStyle w:val="NormlWeb"/>
        <w:spacing w:before="0" w:beforeAutospacing="0" w:after="120" w:afterAutospacing="0"/>
        <w:jc w:val="both"/>
        <w:rPr>
          <w:rFonts w:ascii="Calibri" w:hAnsi="Calibri" w:cs="Arial"/>
          <w:sz w:val="20"/>
          <w:lang w:val="hu-HU"/>
        </w:rPr>
      </w:pPr>
      <w:r w:rsidRPr="00494476">
        <w:rPr>
          <w:rFonts w:ascii="Calibri" w:hAnsi="Calibri" w:cs="Arial"/>
          <w:sz w:val="20"/>
          <w:lang w:val="hu-HU"/>
        </w:rPr>
        <w:t>Az energia</w:t>
      </w:r>
      <w:r w:rsidR="00FB2A20" w:rsidRPr="00494476">
        <w:rPr>
          <w:rFonts w:ascii="Calibri" w:hAnsi="Calibri" w:cs="Arial"/>
          <w:sz w:val="20"/>
          <w:lang w:val="hu-HU"/>
        </w:rPr>
        <w:t xml:space="preserve">gazdálkodási </w:t>
      </w:r>
      <w:r w:rsidRPr="00494476">
        <w:rPr>
          <w:rFonts w:ascii="Calibri" w:hAnsi="Calibri" w:cs="Arial"/>
          <w:sz w:val="20"/>
          <w:lang w:val="hu-HU"/>
        </w:rPr>
        <w:t>politikánk kiterjed az energiaellátás és az energiagazdálkodás feltételrendszerének kialakítására, a jövőbeni energiaigények és a számításba vehető energiaforrások tartós összhangjának biztosítására, a környezetvédelmi szempontok érvényesítésére az energiagazdálkodásban, a gazdaságos működés biztosításának figyelembevétele</w:t>
      </w:r>
      <w:r w:rsidR="008675D1" w:rsidRPr="00494476">
        <w:rPr>
          <w:rFonts w:ascii="Calibri" w:hAnsi="Calibri" w:cs="Arial"/>
          <w:sz w:val="20"/>
          <w:lang w:val="hu-HU"/>
        </w:rPr>
        <w:t>, valamint a társadalmi érdekek érvényesítése</w:t>
      </w:r>
      <w:r w:rsidRPr="00494476">
        <w:rPr>
          <w:rFonts w:ascii="Calibri" w:hAnsi="Calibri" w:cs="Arial"/>
          <w:sz w:val="20"/>
          <w:lang w:val="hu-HU"/>
        </w:rPr>
        <w:t xml:space="preserve"> mellett</w:t>
      </w:r>
      <w:r w:rsidR="008675D1" w:rsidRPr="00494476">
        <w:rPr>
          <w:rFonts w:ascii="Calibri" w:hAnsi="Calibri" w:cs="Arial"/>
          <w:sz w:val="20"/>
          <w:lang w:val="hu-HU"/>
        </w:rPr>
        <w:t>.</w:t>
      </w:r>
    </w:p>
    <w:p w14:paraId="45FED1E8" w14:textId="77777777" w:rsidR="00B24968" w:rsidRPr="00494476" w:rsidRDefault="00B24968" w:rsidP="00B24968">
      <w:pPr>
        <w:spacing w:after="120"/>
        <w:jc w:val="both"/>
        <w:rPr>
          <w:rFonts w:ascii="Calibri" w:hAnsi="Calibri"/>
          <w:b/>
          <w:sz w:val="20"/>
          <w:u w:val="single"/>
          <w:lang w:val="hu-HU"/>
        </w:rPr>
      </w:pPr>
      <w:r w:rsidRPr="00494476">
        <w:rPr>
          <w:rFonts w:ascii="Calibri" w:hAnsi="Calibri"/>
          <w:b/>
          <w:sz w:val="20"/>
          <w:u w:val="single"/>
          <w:lang w:val="hu-HU"/>
        </w:rPr>
        <w:t>Felhasznált energiafajták</w:t>
      </w:r>
    </w:p>
    <w:p w14:paraId="5BC786D9" w14:textId="77777777" w:rsidR="009C30BB" w:rsidRPr="00494476" w:rsidRDefault="009C30BB" w:rsidP="00B24968">
      <w:pPr>
        <w:spacing w:after="120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 w:cs="Arial"/>
          <w:sz w:val="20"/>
          <w:lang w:val="hu-HU"/>
        </w:rPr>
        <w:t xml:space="preserve">Felmértük a jelentős energia-felhasználással járó </w:t>
      </w:r>
      <w:r w:rsidR="008D6B04" w:rsidRPr="00494476">
        <w:rPr>
          <w:rFonts w:ascii="Calibri" w:hAnsi="Calibri" w:cs="Arial"/>
          <w:sz w:val="20"/>
          <w:lang w:val="hu-HU"/>
        </w:rPr>
        <w:t>tevékenységeinket</w:t>
      </w:r>
      <w:r w:rsidRPr="00494476">
        <w:rPr>
          <w:rFonts w:ascii="Calibri" w:hAnsi="Calibri" w:cs="Arial"/>
          <w:sz w:val="20"/>
          <w:lang w:val="hu-HU"/>
        </w:rPr>
        <w:t xml:space="preserve">, meghatároztuk </w:t>
      </w:r>
      <w:r w:rsidR="008675D1" w:rsidRPr="00494476">
        <w:rPr>
          <w:rFonts w:ascii="Calibri" w:hAnsi="Calibri" w:cs="Arial"/>
          <w:sz w:val="20"/>
          <w:lang w:val="hu-HU"/>
        </w:rPr>
        <w:t xml:space="preserve">és szabályozzuk </w:t>
      </w:r>
      <w:r w:rsidRPr="00494476">
        <w:rPr>
          <w:rFonts w:ascii="Calibri" w:hAnsi="Calibri" w:cs="Arial"/>
          <w:sz w:val="20"/>
          <w:lang w:val="hu-HU"/>
        </w:rPr>
        <w:t>a hozzá</w:t>
      </w:r>
      <w:r w:rsidR="00590508" w:rsidRPr="00494476">
        <w:rPr>
          <w:rFonts w:ascii="Calibri" w:hAnsi="Calibri" w:cs="Arial"/>
          <w:sz w:val="20"/>
          <w:lang w:val="hu-HU"/>
        </w:rPr>
        <w:t>juk</w:t>
      </w:r>
      <w:r w:rsidRPr="00494476">
        <w:rPr>
          <w:rFonts w:ascii="Calibri" w:hAnsi="Calibri" w:cs="Arial"/>
          <w:sz w:val="20"/>
          <w:lang w:val="hu-HU"/>
        </w:rPr>
        <w:t xml:space="preserve"> tartozó folyamatainkat, valamint azokat a területeket, amelyek a legnagyobb energia fogyasztásért felelősek.</w:t>
      </w:r>
    </w:p>
    <w:p w14:paraId="108D1D4F" w14:textId="77777777" w:rsidR="00B24968" w:rsidRPr="00494476" w:rsidRDefault="00B24968" w:rsidP="00B24968">
      <w:pPr>
        <w:spacing w:after="120"/>
        <w:jc w:val="both"/>
        <w:rPr>
          <w:rFonts w:ascii="Calibri" w:hAnsi="Calibri" w:cs="TimesNewRomanOOEnc"/>
          <w:sz w:val="20"/>
          <w:lang w:val="hu-HU" w:eastAsia="hu-HU"/>
        </w:rPr>
      </w:pPr>
      <w:r w:rsidRPr="00494476">
        <w:rPr>
          <w:rFonts w:ascii="Calibri" w:hAnsi="Calibri"/>
          <w:sz w:val="20"/>
          <w:lang w:val="hu-HU"/>
        </w:rPr>
        <w:t xml:space="preserve">A gyártás alapvetően két fő energiahordózóra, </w:t>
      </w:r>
      <w:r w:rsidRPr="00494476">
        <w:rPr>
          <w:rFonts w:ascii="Calibri" w:hAnsi="Calibri" w:cs="TimesNewRomanOOEnc"/>
          <w:sz w:val="20"/>
          <w:lang w:val="hu-HU" w:eastAsia="hu-HU"/>
        </w:rPr>
        <w:t>illetve energiafajtára alapul: földgázra és villamos energiára.</w:t>
      </w:r>
    </w:p>
    <w:p w14:paraId="10AA1773" w14:textId="77777777" w:rsidR="00CF2E51" w:rsidRPr="00494476" w:rsidRDefault="00240B48" w:rsidP="00B24968">
      <w:pPr>
        <w:spacing w:after="120"/>
        <w:jc w:val="both"/>
        <w:rPr>
          <w:rFonts w:ascii="Calibri" w:hAnsi="Calibri"/>
          <w:b/>
          <w:sz w:val="20"/>
          <w:u w:val="single"/>
          <w:lang w:val="hu-HU"/>
        </w:rPr>
      </w:pPr>
      <w:r w:rsidRPr="00494476">
        <w:rPr>
          <w:rFonts w:ascii="Calibri" w:hAnsi="Calibri"/>
          <w:b/>
          <w:sz w:val="20"/>
          <w:u w:val="single"/>
          <w:lang w:val="hu-HU"/>
        </w:rPr>
        <w:t>Energiapolitikai</w:t>
      </w:r>
      <w:r w:rsidR="00B24968" w:rsidRPr="00494476">
        <w:rPr>
          <w:rFonts w:ascii="Calibri" w:hAnsi="Calibri"/>
          <w:b/>
          <w:sz w:val="20"/>
          <w:u w:val="single"/>
          <w:lang w:val="hu-HU"/>
        </w:rPr>
        <w:t xml:space="preserve"> alapelvei</w:t>
      </w:r>
      <w:r w:rsidRPr="00494476">
        <w:rPr>
          <w:rFonts w:ascii="Calibri" w:hAnsi="Calibri"/>
          <w:b/>
          <w:sz w:val="20"/>
          <w:u w:val="single"/>
          <w:lang w:val="hu-HU"/>
        </w:rPr>
        <w:t>nk</w:t>
      </w:r>
      <w:r w:rsidR="007147D8" w:rsidRPr="00494476">
        <w:rPr>
          <w:rFonts w:ascii="Calibri" w:hAnsi="Calibri"/>
          <w:b/>
          <w:sz w:val="20"/>
          <w:u w:val="single"/>
          <w:lang w:val="hu-HU"/>
        </w:rPr>
        <w:t xml:space="preserve"> és célkitűzéseink</w:t>
      </w:r>
    </w:p>
    <w:p w14:paraId="68524FA5" w14:textId="5328572D" w:rsidR="007147D8" w:rsidRPr="00494476" w:rsidRDefault="008D6B04" w:rsidP="007147D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Cs/>
          <w:sz w:val="20"/>
          <w:lang w:val="hu-HU"/>
        </w:rPr>
      </w:pPr>
      <w:r w:rsidRPr="00494476">
        <w:rPr>
          <w:rFonts w:ascii="Calibri" w:hAnsi="Calibri" w:cs="Arial"/>
          <w:bCs/>
          <w:sz w:val="20"/>
          <w:lang w:val="hu-HU"/>
        </w:rPr>
        <w:t>Az energiagazdá</w:t>
      </w:r>
      <w:r w:rsidR="00FB2A20" w:rsidRPr="00494476">
        <w:rPr>
          <w:rFonts w:ascii="Calibri" w:hAnsi="Calibri" w:cs="Arial"/>
          <w:bCs/>
          <w:sz w:val="20"/>
          <w:lang w:val="hu-HU"/>
        </w:rPr>
        <w:t>lkodás</w:t>
      </w:r>
      <w:r w:rsidRPr="00494476">
        <w:rPr>
          <w:rFonts w:ascii="Calibri" w:hAnsi="Calibri" w:cs="Arial"/>
          <w:bCs/>
          <w:sz w:val="20"/>
          <w:lang w:val="hu-HU"/>
        </w:rPr>
        <w:t xml:space="preserve"> folyamatos fejlesztése iránt a vezetőség elkötelezett. </w:t>
      </w:r>
      <w:r w:rsidR="007147D8" w:rsidRPr="00494476">
        <w:rPr>
          <w:rFonts w:ascii="Calibri" w:hAnsi="Calibri" w:cs="Arial"/>
          <w:bCs/>
          <w:sz w:val="20"/>
          <w:lang w:val="hu-HU"/>
        </w:rPr>
        <w:t xml:space="preserve">Meghatároztuk </w:t>
      </w:r>
      <w:r w:rsidRPr="00494476">
        <w:rPr>
          <w:rFonts w:ascii="Calibri" w:hAnsi="Calibri" w:cs="Arial"/>
          <w:bCs/>
          <w:sz w:val="20"/>
          <w:lang w:val="hu-HU"/>
        </w:rPr>
        <w:t xml:space="preserve">és dokumentáltuk </w:t>
      </w:r>
      <w:r w:rsidR="007147D8" w:rsidRPr="00494476">
        <w:rPr>
          <w:rFonts w:ascii="Calibri" w:hAnsi="Calibri" w:cs="Arial"/>
          <w:bCs/>
          <w:sz w:val="20"/>
          <w:lang w:val="hu-HU"/>
        </w:rPr>
        <w:t>az Energia</w:t>
      </w:r>
      <w:r w:rsidR="00FB2A20" w:rsidRPr="00494476">
        <w:rPr>
          <w:rFonts w:ascii="Calibri" w:hAnsi="Calibri" w:cs="Arial"/>
          <w:bCs/>
          <w:sz w:val="20"/>
          <w:lang w:val="hu-HU"/>
        </w:rPr>
        <w:t>gazdálkodási I</w:t>
      </w:r>
      <w:r w:rsidR="007147D8" w:rsidRPr="00494476">
        <w:rPr>
          <w:rFonts w:ascii="Calibri" w:hAnsi="Calibri" w:cs="Arial"/>
          <w:bCs/>
          <w:sz w:val="20"/>
          <w:lang w:val="hu-HU"/>
        </w:rPr>
        <w:t>rányítási Rendszer működtetés</w:t>
      </w:r>
      <w:r w:rsidRPr="00494476">
        <w:rPr>
          <w:rFonts w:ascii="Calibri" w:hAnsi="Calibri" w:cs="Arial"/>
          <w:bCs/>
          <w:sz w:val="20"/>
          <w:lang w:val="hu-HU"/>
        </w:rPr>
        <w:t>éhez kapcsolódó felelősségi köröket.</w:t>
      </w:r>
    </w:p>
    <w:p w14:paraId="38C667F9" w14:textId="4DA5488A" w:rsidR="000E0C37" w:rsidRPr="00494476" w:rsidRDefault="000E0C37" w:rsidP="000E0C37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lang w:val="hu-HU"/>
        </w:rPr>
      </w:pPr>
      <w:r w:rsidRPr="00494476">
        <w:rPr>
          <w:rFonts w:ascii="Calibri" w:hAnsi="Calibri" w:cs="Arial"/>
          <w:bCs/>
          <w:sz w:val="20"/>
          <w:lang w:val="hu-HU"/>
        </w:rPr>
        <w:t>Az energia</w:t>
      </w:r>
      <w:r w:rsidR="00FB2A20" w:rsidRPr="00494476">
        <w:rPr>
          <w:rFonts w:ascii="Calibri" w:hAnsi="Calibri" w:cs="Arial"/>
          <w:bCs/>
          <w:sz w:val="20"/>
          <w:lang w:val="hu-HU"/>
        </w:rPr>
        <w:t xml:space="preserve">gazdálkodási </w:t>
      </w:r>
      <w:r w:rsidRPr="00494476">
        <w:rPr>
          <w:rFonts w:ascii="Calibri" w:hAnsi="Calibri" w:cs="Arial"/>
          <w:bCs/>
          <w:sz w:val="20"/>
          <w:lang w:val="hu-HU"/>
        </w:rPr>
        <w:t>politika alapelvei befolyással vannak a versenyképesség</w:t>
      </w:r>
      <w:r w:rsidRPr="00494476">
        <w:rPr>
          <w:rFonts w:ascii="Calibri" w:hAnsi="Calibri" w:cs="Arial"/>
          <w:sz w:val="20"/>
          <w:lang w:val="hu-HU"/>
        </w:rPr>
        <w:t xml:space="preserve">ünkre, az </w:t>
      </w:r>
      <w:r w:rsidRPr="00494476">
        <w:rPr>
          <w:rFonts w:ascii="Calibri" w:hAnsi="Calibri" w:cs="Arial"/>
          <w:bCs/>
          <w:sz w:val="20"/>
          <w:lang w:val="hu-HU"/>
        </w:rPr>
        <w:t>ellátás biztonság</w:t>
      </w:r>
      <w:r w:rsidRPr="00494476">
        <w:rPr>
          <w:rFonts w:ascii="Calibri" w:hAnsi="Calibri" w:cs="Arial"/>
          <w:sz w:val="20"/>
          <w:lang w:val="hu-HU"/>
        </w:rPr>
        <w:t xml:space="preserve">ára és a </w:t>
      </w:r>
      <w:r w:rsidRPr="00494476">
        <w:rPr>
          <w:rFonts w:ascii="Calibri" w:hAnsi="Calibri" w:cs="Arial"/>
          <w:bCs/>
          <w:sz w:val="20"/>
          <w:lang w:val="hu-HU"/>
        </w:rPr>
        <w:t>környezetvédelmi szempontokra</w:t>
      </w:r>
      <w:r w:rsidR="00D007ED" w:rsidRPr="00494476">
        <w:rPr>
          <w:rFonts w:ascii="Calibri" w:hAnsi="Calibri" w:cs="Arial"/>
          <w:sz w:val="20"/>
          <w:lang w:val="hu-HU"/>
        </w:rPr>
        <w:t>.</w:t>
      </w:r>
      <w:r w:rsidRPr="00494476">
        <w:rPr>
          <w:rFonts w:ascii="Calibri" w:hAnsi="Calibri" w:cs="Arial"/>
          <w:sz w:val="20"/>
          <w:lang w:val="hu-HU"/>
        </w:rPr>
        <w:t xml:space="preserve"> </w:t>
      </w:r>
      <w:r w:rsidR="00D007ED" w:rsidRPr="00494476">
        <w:rPr>
          <w:rFonts w:ascii="Calibri" w:hAnsi="Calibri" w:cs="Arial"/>
          <w:sz w:val="20"/>
          <w:lang w:val="hu-HU"/>
        </w:rPr>
        <w:t xml:space="preserve">Ezen elvek érvényre juttatása összetett feltételrendszer rendelkezésre állását, és számos – az üzemeltetéshez / folyamatirányításhoz kapcsolódó – feladat elvégzését kívánja meg, </w:t>
      </w:r>
      <w:r w:rsidRPr="00494476">
        <w:rPr>
          <w:rFonts w:ascii="Calibri" w:hAnsi="Calibri" w:cs="Arial"/>
          <w:sz w:val="20"/>
          <w:lang w:val="hu-HU"/>
        </w:rPr>
        <w:t>éppen ezért valamennyi tevékenységünket az alábbi alapelvek mentén végezzük el:</w:t>
      </w:r>
    </w:p>
    <w:p w14:paraId="2E8F9F0A" w14:textId="77777777" w:rsidR="007147D8" w:rsidRPr="00494476" w:rsidRDefault="00B24968" w:rsidP="007147D8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Az energiaellátás bi</w:t>
      </w:r>
      <w:r w:rsidR="00D007ED" w:rsidRPr="00494476">
        <w:rPr>
          <w:rFonts w:ascii="Calibri" w:hAnsi="Calibri"/>
          <w:sz w:val="20"/>
          <w:lang w:val="hu-HU"/>
        </w:rPr>
        <w:t>ztonságának megőrzése, fokozása</w:t>
      </w:r>
      <w:r w:rsidR="007147D8" w:rsidRPr="00494476">
        <w:rPr>
          <w:rFonts w:ascii="Calibri" w:hAnsi="Calibri"/>
          <w:sz w:val="20"/>
          <w:lang w:val="hu-HU"/>
        </w:rPr>
        <w:t>, ennek érdekében a működési folyamatok szabályozása, a szabályozási folyamatok egységes rendszerben történő kezelése, különös tekintettel a meglévő irányítási rendszereinkkel történő összhangra</w:t>
      </w:r>
    </w:p>
    <w:p w14:paraId="56D50578" w14:textId="77777777" w:rsidR="007147D8" w:rsidRPr="00494476" w:rsidRDefault="007147D8" w:rsidP="007147D8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Energiafelhasználásunk folyamatos figyelemmel kísérése, energia-megtakarítási lehetőségek meghatározása, folyamatos értékelése, kapcsolódó fejlesztési intézkedések meghatározása</w:t>
      </w:r>
    </w:p>
    <w:p w14:paraId="453FA755" w14:textId="06EA0554" w:rsidR="000E0C37" w:rsidRPr="00494476" w:rsidRDefault="00B24968" w:rsidP="000E0C37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Az energiafelhasználás optimalizálása</w:t>
      </w:r>
      <w:r w:rsidR="008675D1" w:rsidRPr="00494476">
        <w:rPr>
          <w:rFonts w:ascii="Calibri" w:hAnsi="Calibri"/>
          <w:sz w:val="20"/>
          <w:lang w:val="hu-HU"/>
        </w:rPr>
        <w:t xml:space="preserve">, energiateljesítmény növelése, </w:t>
      </w:r>
      <w:r w:rsidR="007147D8" w:rsidRPr="00494476">
        <w:rPr>
          <w:rFonts w:ascii="Calibri" w:hAnsi="Calibri"/>
          <w:sz w:val="20"/>
          <w:lang w:val="hu-HU"/>
        </w:rPr>
        <w:t>az Energia</w:t>
      </w:r>
      <w:r w:rsidR="00FB2A20" w:rsidRPr="00494476">
        <w:rPr>
          <w:rFonts w:ascii="Calibri" w:hAnsi="Calibri"/>
          <w:sz w:val="20"/>
          <w:lang w:val="hu-HU"/>
        </w:rPr>
        <w:t>gazdálkodási I</w:t>
      </w:r>
      <w:r w:rsidR="007147D8" w:rsidRPr="00494476">
        <w:rPr>
          <w:rFonts w:ascii="Calibri" w:hAnsi="Calibri"/>
          <w:sz w:val="20"/>
          <w:lang w:val="hu-HU"/>
        </w:rPr>
        <w:t xml:space="preserve">rányítási Rendszer folyamatos fejlesztése, </w:t>
      </w:r>
      <w:r w:rsidR="008675D1" w:rsidRPr="00494476">
        <w:rPr>
          <w:rFonts w:ascii="Calibri" w:hAnsi="Calibri"/>
          <w:sz w:val="20"/>
          <w:lang w:val="hu-HU"/>
        </w:rPr>
        <w:t xml:space="preserve">ehhez kapcsolódóan </w:t>
      </w:r>
      <w:r w:rsidR="00CF5B5A" w:rsidRPr="00494476">
        <w:rPr>
          <w:rFonts w:ascii="Calibri" w:hAnsi="Calibri"/>
          <w:sz w:val="20"/>
          <w:lang w:val="hu-HU"/>
        </w:rPr>
        <w:t>az energia</w:t>
      </w:r>
      <w:r w:rsidR="00FB2A20" w:rsidRPr="00494476">
        <w:rPr>
          <w:rFonts w:ascii="Calibri" w:hAnsi="Calibri"/>
          <w:sz w:val="20"/>
          <w:lang w:val="hu-HU"/>
        </w:rPr>
        <w:t xml:space="preserve">gazdálkodási </w:t>
      </w:r>
      <w:r w:rsidR="00CF5B5A" w:rsidRPr="00494476">
        <w:rPr>
          <w:rFonts w:ascii="Calibri" w:hAnsi="Calibri"/>
          <w:sz w:val="20"/>
          <w:lang w:val="hu-HU"/>
        </w:rPr>
        <w:t xml:space="preserve">célok, </w:t>
      </w:r>
      <w:r w:rsidR="00D007ED" w:rsidRPr="00494476">
        <w:rPr>
          <w:rFonts w:ascii="Calibri" w:hAnsi="Calibri"/>
          <w:sz w:val="20"/>
          <w:lang w:val="hu-HU"/>
        </w:rPr>
        <w:t>előirányzatok</w:t>
      </w:r>
      <w:r w:rsidR="008675D1" w:rsidRPr="00494476">
        <w:rPr>
          <w:rFonts w:ascii="Calibri" w:hAnsi="Calibri"/>
          <w:sz w:val="20"/>
          <w:lang w:val="hu-HU"/>
        </w:rPr>
        <w:t xml:space="preserve"> é</w:t>
      </w:r>
      <w:r w:rsidR="00D007ED" w:rsidRPr="00494476">
        <w:rPr>
          <w:rFonts w:ascii="Calibri" w:hAnsi="Calibri"/>
          <w:sz w:val="20"/>
          <w:lang w:val="hu-HU"/>
        </w:rPr>
        <w:t>s kapcsolódó cselekvési tervek</w:t>
      </w:r>
      <w:r w:rsidR="008675D1" w:rsidRPr="00494476">
        <w:rPr>
          <w:rFonts w:ascii="Calibri" w:hAnsi="Calibri"/>
          <w:sz w:val="20"/>
          <w:lang w:val="hu-HU"/>
        </w:rPr>
        <w:t xml:space="preserve"> ki</w:t>
      </w:r>
      <w:r w:rsidR="00D007ED" w:rsidRPr="00494476">
        <w:rPr>
          <w:rFonts w:ascii="Calibri" w:hAnsi="Calibri"/>
          <w:sz w:val="20"/>
          <w:lang w:val="hu-HU"/>
        </w:rPr>
        <w:t xml:space="preserve">dolgozása, </w:t>
      </w:r>
      <w:r w:rsidR="008D6B04" w:rsidRPr="00494476">
        <w:rPr>
          <w:rFonts w:ascii="Calibri" w:hAnsi="Calibri"/>
          <w:sz w:val="20"/>
          <w:lang w:val="hu-HU"/>
        </w:rPr>
        <w:t xml:space="preserve">szükséges információk és </w:t>
      </w:r>
      <w:r w:rsidR="007147D8" w:rsidRPr="00494476">
        <w:rPr>
          <w:rFonts w:ascii="Calibri" w:hAnsi="Calibri"/>
          <w:sz w:val="20"/>
          <w:lang w:val="hu-HU"/>
        </w:rPr>
        <w:t xml:space="preserve">erőforrások biztosítása, intézkedések végrehajtása, </w:t>
      </w:r>
      <w:r w:rsidR="00D007ED" w:rsidRPr="00494476">
        <w:rPr>
          <w:rFonts w:ascii="Calibri" w:hAnsi="Calibri"/>
          <w:sz w:val="20"/>
          <w:lang w:val="hu-HU"/>
        </w:rPr>
        <w:t>valamint azok státuszainak nyomon követése</w:t>
      </w:r>
    </w:p>
    <w:p w14:paraId="36034072" w14:textId="5ADB2D0C" w:rsidR="00D007ED" w:rsidRPr="00494476" w:rsidRDefault="00D007ED" w:rsidP="00D007ED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Energia</w:t>
      </w:r>
      <w:r w:rsidR="00FB2A20" w:rsidRPr="00494476">
        <w:rPr>
          <w:rFonts w:ascii="Calibri" w:hAnsi="Calibri"/>
          <w:sz w:val="20"/>
          <w:lang w:val="hu-HU"/>
        </w:rPr>
        <w:t xml:space="preserve">gazdálkodási </w:t>
      </w:r>
      <w:r w:rsidRPr="00494476">
        <w:rPr>
          <w:rFonts w:ascii="Calibri" w:hAnsi="Calibri"/>
          <w:sz w:val="20"/>
          <w:lang w:val="hu-HU"/>
        </w:rPr>
        <w:t>politikánk, célkitűzéseink, szabályozásaink munkatársaink felé történő kommunikálása</w:t>
      </w:r>
    </w:p>
    <w:p w14:paraId="35CC23B7" w14:textId="77777777" w:rsidR="00B24968" w:rsidRPr="00494476" w:rsidRDefault="00B24968" w:rsidP="000E0C37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A</w:t>
      </w:r>
      <w:r w:rsidR="00240B48" w:rsidRPr="00494476">
        <w:rPr>
          <w:rFonts w:ascii="Calibri" w:hAnsi="Calibri"/>
          <w:sz w:val="20"/>
          <w:lang w:val="hu-HU"/>
        </w:rPr>
        <w:t>z</w:t>
      </w:r>
      <w:r w:rsidRPr="00494476">
        <w:rPr>
          <w:rFonts w:ascii="Calibri" w:hAnsi="Calibri"/>
          <w:sz w:val="20"/>
          <w:lang w:val="hu-HU"/>
        </w:rPr>
        <w:t xml:space="preserve"> </w:t>
      </w:r>
      <w:r w:rsidR="00240B48" w:rsidRPr="00494476">
        <w:rPr>
          <w:rFonts w:ascii="Calibri" w:hAnsi="Calibri"/>
          <w:sz w:val="20"/>
          <w:lang w:val="hu-HU"/>
        </w:rPr>
        <w:t>energiahatékonysági</w:t>
      </w:r>
      <w:r w:rsidRPr="00494476">
        <w:rPr>
          <w:rFonts w:ascii="Calibri" w:hAnsi="Calibri"/>
          <w:sz w:val="20"/>
          <w:lang w:val="hu-HU"/>
        </w:rPr>
        <w:t xml:space="preserve"> szempontok érvényesítése mind a meglévő berendezéseknél, infrastruktúra elemeknél, mind p</w:t>
      </w:r>
      <w:r w:rsidR="007147D8" w:rsidRPr="00494476">
        <w:rPr>
          <w:rFonts w:ascii="Calibri" w:hAnsi="Calibri"/>
          <w:sz w:val="20"/>
          <w:lang w:val="hu-HU"/>
        </w:rPr>
        <w:t>edig a jövőbeni fejlesztéseknél</w:t>
      </w:r>
    </w:p>
    <w:p w14:paraId="7382F633" w14:textId="77777777" w:rsidR="007147D8" w:rsidRPr="00494476" w:rsidRDefault="007147D8" w:rsidP="007147D8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Az energia-beszerzés feltételeinek összhangja az energiapolitika alapelveivel. Az Intersnack</w:t>
      </w:r>
      <w:r w:rsidR="00282C32" w:rsidRPr="00494476">
        <w:rPr>
          <w:rFonts w:ascii="Calibri" w:hAnsi="Calibri"/>
          <w:sz w:val="20"/>
          <w:lang w:val="hu-HU"/>
        </w:rPr>
        <w:t xml:space="preserve"> Magyarország</w:t>
      </w:r>
      <w:r w:rsidRPr="00494476">
        <w:rPr>
          <w:rFonts w:ascii="Calibri" w:hAnsi="Calibri"/>
          <w:sz w:val="20"/>
          <w:lang w:val="hu-HU"/>
        </w:rPr>
        <w:t xml:space="preserve"> Kft. üzletpolitikájának összhangja az energiapolitika alapelveivel</w:t>
      </w:r>
    </w:p>
    <w:p w14:paraId="022BF0C0" w14:textId="77777777" w:rsidR="000E0C37" w:rsidRPr="00494476" w:rsidRDefault="00D007ED" w:rsidP="000E0C37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Energiagazdálkodáshoz</w:t>
      </w:r>
      <w:r w:rsidR="000605A2" w:rsidRPr="00494476">
        <w:rPr>
          <w:rFonts w:ascii="Calibri" w:hAnsi="Calibri"/>
          <w:sz w:val="20"/>
          <w:lang w:val="hu-HU"/>
        </w:rPr>
        <w:t xml:space="preserve"> kapcsolódó</w:t>
      </w:r>
      <w:r w:rsidR="000E0C37" w:rsidRPr="00494476">
        <w:rPr>
          <w:rFonts w:ascii="Calibri" w:hAnsi="Calibri"/>
          <w:sz w:val="20"/>
          <w:lang w:val="hu-HU"/>
        </w:rPr>
        <w:t xml:space="preserve"> jogszabályi </w:t>
      </w:r>
      <w:r w:rsidR="00CF5B5A" w:rsidRPr="00494476">
        <w:rPr>
          <w:rFonts w:ascii="Calibri" w:hAnsi="Calibri"/>
          <w:sz w:val="20"/>
          <w:lang w:val="hu-HU"/>
        </w:rPr>
        <w:t xml:space="preserve">és egyéb vállalt </w:t>
      </w:r>
      <w:r w:rsidR="000E0C37" w:rsidRPr="00494476">
        <w:rPr>
          <w:rFonts w:ascii="Calibri" w:hAnsi="Calibri"/>
          <w:sz w:val="20"/>
          <w:lang w:val="hu-HU"/>
        </w:rPr>
        <w:t xml:space="preserve">követelmények </w:t>
      </w:r>
      <w:r w:rsidRPr="00494476">
        <w:rPr>
          <w:rFonts w:ascii="Calibri" w:hAnsi="Calibri"/>
          <w:sz w:val="20"/>
          <w:lang w:val="hu-HU"/>
        </w:rPr>
        <w:t>figyelemmel kísérése, valamint a követelmények</w:t>
      </w:r>
      <w:r w:rsidR="000E0C37" w:rsidRPr="00494476">
        <w:rPr>
          <w:rFonts w:ascii="Calibri" w:hAnsi="Calibri"/>
          <w:sz w:val="20"/>
          <w:lang w:val="hu-HU"/>
        </w:rPr>
        <w:t xml:space="preserve"> betartása.</w:t>
      </w:r>
    </w:p>
    <w:p w14:paraId="6ABFB0B7" w14:textId="77777777" w:rsidR="007147D8" w:rsidRPr="00494476" w:rsidRDefault="007147D8" w:rsidP="007147D8">
      <w:pPr>
        <w:pStyle w:val="Listaszerbekezds"/>
        <w:spacing w:after="120"/>
        <w:ind w:left="1077" w:hanging="357"/>
        <w:jc w:val="both"/>
        <w:rPr>
          <w:rFonts w:ascii="Calibri" w:hAnsi="Calibri"/>
          <w:sz w:val="20"/>
          <w:lang w:val="hu-HU"/>
        </w:rPr>
      </w:pPr>
      <w:r w:rsidRPr="00494476">
        <w:rPr>
          <w:rFonts w:ascii="Calibri" w:hAnsi="Calibri"/>
          <w:sz w:val="20"/>
          <w:lang w:val="hu-HU"/>
        </w:rPr>
        <w:t>Az infrastruktúra rendszeres, szabályozott karbantartása</w:t>
      </w:r>
    </w:p>
    <w:bookmarkEnd w:id="0"/>
    <w:p w14:paraId="56EB5AD0" w14:textId="60EF769B" w:rsidR="009C30BB" w:rsidRPr="007147D8" w:rsidRDefault="007147D8" w:rsidP="00B2496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lang w:val="hu-HU"/>
        </w:rPr>
      </w:pPr>
      <w:r w:rsidRPr="00494476">
        <w:rPr>
          <w:rFonts w:ascii="Calibri" w:hAnsi="Calibri" w:cs="Arial"/>
          <w:sz w:val="20"/>
          <w:lang w:val="hu-HU"/>
        </w:rPr>
        <w:t>Az energia</w:t>
      </w:r>
      <w:r w:rsidR="00FB2A20" w:rsidRPr="00494476">
        <w:rPr>
          <w:rFonts w:ascii="Calibri" w:hAnsi="Calibri" w:cs="Arial"/>
          <w:sz w:val="20"/>
          <w:lang w:val="hu-HU"/>
        </w:rPr>
        <w:t xml:space="preserve">gazdálkodási </w:t>
      </w:r>
      <w:r w:rsidRPr="00494476">
        <w:rPr>
          <w:rFonts w:ascii="Calibri" w:hAnsi="Calibri" w:cs="Arial"/>
          <w:sz w:val="20"/>
          <w:lang w:val="hu-HU"/>
        </w:rPr>
        <w:t>politikánkkal kapcsolatos felülvizsgálati és esetleges módosítási kérdéseit a vezetőségi átvizsgálások során tárgyaljuk.</w:t>
      </w:r>
    </w:p>
    <w:p w14:paraId="1E07B17C" w14:textId="77777777" w:rsidR="007147D8" w:rsidRPr="007147D8" w:rsidRDefault="007147D8" w:rsidP="00B2496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lang w:val="hu-HU"/>
        </w:rPr>
      </w:pPr>
    </w:p>
    <w:p w14:paraId="2830A64F" w14:textId="1B474180" w:rsidR="0099706E" w:rsidRPr="00494476" w:rsidRDefault="007147D8" w:rsidP="00B2496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lang w:val="hu-HU"/>
        </w:rPr>
      </w:pPr>
      <w:r w:rsidRPr="00494476">
        <w:rPr>
          <w:rFonts w:ascii="Calibri" w:hAnsi="Calibri" w:cs="Arial"/>
          <w:sz w:val="20"/>
          <w:lang w:val="hu-HU"/>
        </w:rPr>
        <w:t>Győr</w:t>
      </w:r>
      <w:r w:rsidR="0099706E" w:rsidRPr="00494476">
        <w:rPr>
          <w:rFonts w:ascii="Calibri" w:hAnsi="Calibri" w:cs="Arial"/>
          <w:sz w:val="20"/>
          <w:lang w:val="hu-HU"/>
        </w:rPr>
        <w:t>, 201</w:t>
      </w:r>
      <w:r w:rsidR="00FB2A20" w:rsidRPr="00494476">
        <w:rPr>
          <w:rFonts w:ascii="Calibri" w:hAnsi="Calibri" w:cs="Arial"/>
          <w:sz w:val="20"/>
          <w:lang w:val="hu-HU"/>
        </w:rPr>
        <w:t>9</w:t>
      </w:r>
      <w:r w:rsidR="00DE4551" w:rsidRPr="00494476">
        <w:rPr>
          <w:rFonts w:ascii="Calibri" w:hAnsi="Calibri" w:cs="Arial"/>
          <w:sz w:val="20"/>
          <w:lang w:val="hu-HU"/>
        </w:rPr>
        <w:t>.0</w:t>
      </w:r>
      <w:r w:rsidR="00FB2A20" w:rsidRPr="00494476">
        <w:rPr>
          <w:rFonts w:ascii="Calibri" w:hAnsi="Calibri" w:cs="Arial"/>
          <w:sz w:val="20"/>
          <w:lang w:val="hu-HU"/>
        </w:rPr>
        <w:t>9</w:t>
      </w:r>
      <w:r w:rsidR="006C3F4D" w:rsidRPr="00494476">
        <w:rPr>
          <w:rFonts w:ascii="Calibri" w:hAnsi="Calibri" w:cs="Arial"/>
          <w:sz w:val="20"/>
          <w:lang w:val="hu-HU"/>
        </w:rPr>
        <w:t>.</w:t>
      </w:r>
      <w:r w:rsidR="00FB2A20" w:rsidRPr="00494476">
        <w:rPr>
          <w:rFonts w:ascii="Calibri" w:hAnsi="Calibri" w:cs="Arial"/>
          <w:sz w:val="20"/>
          <w:lang w:val="hu-HU"/>
        </w:rPr>
        <w:t>29</w:t>
      </w:r>
      <w:r w:rsidR="006C3F4D" w:rsidRPr="00494476">
        <w:rPr>
          <w:rFonts w:ascii="Calibri" w:hAnsi="Calibri" w:cs="Arial"/>
          <w:sz w:val="20"/>
          <w:lang w:val="hu-HU"/>
        </w:rPr>
        <w:t>.</w:t>
      </w:r>
    </w:p>
    <w:p w14:paraId="6D68EA61" w14:textId="77777777" w:rsidR="008D6B04" w:rsidRPr="00494476" w:rsidRDefault="008D6B04" w:rsidP="00B24968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0"/>
          <w:lang w:val="hu-HU"/>
        </w:rPr>
      </w:pPr>
    </w:p>
    <w:p w14:paraId="6CF48897" w14:textId="77777777" w:rsidR="00B761E7" w:rsidRPr="00494476" w:rsidRDefault="00FB2A20" w:rsidP="007147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sz w:val="20"/>
          <w:lang w:val="hu-HU"/>
        </w:rPr>
      </w:pPr>
      <w:r w:rsidRPr="00494476">
        <w:rPr>
          <w:rFonts w:ascii="Calibri" w:hAnsi="Calibri" w:cs="Arial"/>
          <w:sz w:val="20"/>
          <w:lang w:val="hu-HU"/>
        </w:rPr>
        <w:t>Vadim Markin</w:t>
      </w:r>
    </w:p>
    <w:p w14:paraId="7C2904B5" w14:textId="77777777" w:rsidR="00002272" w:rsidRPr="007147D8" w:rsidRDefault="00DE4551" w:rsidP="007147D8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sz w:val="20"/>
          <w:lang w:val="hu-HU"/>
        </w:rPr>
      </w:pPr>
      <w:r w:rsidRPr="00494476">
        <w:rPr>
          <w:rFonts w:ascii="Calibri" w:hAnsi="Calibri" w:cs="Arial"/>
          <w:sz w:val="20"/>
          <w:lang w:val="hu-HU"/>
        </w:rPr>
        <w:t>Gyár</w:t>
      </w:r>
      <w:r w:rsidR="00B761E7" w:rsidRPr="00494476">
        <w:rPr>
          <w:rFonts w:ascii="Calibri" w:hAnsi="Calibri" w:cs="Arial"/>
          <w:sz w:val="20"/>
          <w:lang w:val="hu-HU"/>
        </w:rPr>
        <w:t>igazgató</w:t>
      </w:r>
    </w:p>
    <w:sectPr w:rsidR="00002272" w:rsidRPr="007147D8" w:rsidSect="008D6B04">
      <w:headerReference w:type="default" r:id="rId8"/>
      <w:pgSz w:w="12240" w:h="15840"/>
      <w:pgMar w:top="1080" w:right="1080" w:bottom="709" w:left="108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ABA0" w14:textId="77777777" w:rsidR="005E223E" w:rsidRDefault="005E223E">
      <w:r>
        <w:separator/>
      </w:r>
    </w:p>
  </w:endnote>
  <w:endnote w:type="continuationSeparator" w:id="0">
    <w:p w14:paraId="74EC3FCE" w14:textId="77777777" w:rsidR="005E223E" w:rsidRDefault="005E223E">
      <w:r>
        <w:continuationSeparator/>
      </w:r>
    </w:p>
  </w:endnote>
  <w:endnote w:type="continuationNotice" w:id="1">
    <w:p w14:paraId="3321ED86" w14:textId="77777777" w:rsidR="005E223E" w:rsidRDefault="005E2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6AA" w14:textId="77777777" w:rsidR="005E223E" w:rsidRDefault="005E223E">
      <w:r>
        <w:separator/>
      </w:r>
    </w:p>
  </w:footnote>
  <w:footnote w:type="continuationSeparator" w:id="0">
    <w:p w14:paraId="6B22DBB3" w14:textId="77777777" w:rsidR="005E223E" w:rsidRDefault="005E223E">
      <w:r>
        <w:continuationSeparator/>
      </w:r>
    </w:p>
  </w:footnote>
  <w:footnote w:type="continuationNotice" w:id="1">
    <w:p w14:paraId="1FA771DF" w14:textId="77777777" w:rsidR="005E223E" w:rsidRDefault="005E2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5065"/>
      <w:gridCol w:w="5015"/>
    </w:tblGrid>
    <w:tr w:rsidR="000605A2" w:rsidRPr="00C16988" w14:paraId="2C6A3EE5" w14:textId="77777777" w:rsidTr="008D6B04">
      <w:trPr>
        <w:trHeight w:val="713"/>
      </w:trPr>
      <w:tc>
        <w:tcPr>
          <w:tcW w:w="5110" w:type="dxa"/>
          <w:shd w:val="clear" w:color="auto" w:fill="auto"/>
        </w:tcPr>
        <w:p w14:paraId="4CA69DB2" w14:textId="367DCA19" w:rsidR="000605A2" w:rsidRPr="00C16988" w:rsidRDefault="000605A2" w:rsidP="000605A2">
          <w:pPr>
            <w:pStyle w:val="lfej"/>
            <w:rPr>
              <w:rFonts w:cs="Arial"/>
              <w:color w:val="262626"/>
            </w:rPr>
          </w:pPr>
          <w:r w:rsidRPr="00494476">
            <w:rPr>
              <w:rFonts w:ascii="Tahoma" w:hAnsi="Tahoma" w:cs="Tahoma"/>
              <w:b/>
              <w:color w:val="2626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ENERGIA</w:t>
          </w:r>
          <w:r w:rsidR="00FB2A20" w:rsidRPr="00494476">
            <w:rPr>
              <w:rFonts w:ascii="Tahoma" w:hAnsi="Tahoma" w:cs="Tahoma"/>
              <w:b/>
              <w:color w:val="2626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GAZDÁLKODÁSI </w:t>
          </w:r>
          <w:r w:rsidRPr="00494476">
            <w:rPr>
              <w:rFonts w:ascii="Tahoma" w:hAnsi="Tahoma" w:cs="Tahoma"/>
              <w:b/>
              <w:color w:val="2626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POLITIKA</w:t>
          </w:r>
        </w:p>
      </w:tc>
      <w:tc>
        <w:tcPr>
          <w:tcW w:w="5110" w:type="dxa"/>
          <w:shd w:val="clear" w:color="auto" w:fill="auto"/>
        </w:tcPr>
        <w:p w14:paraId="2EFC9EF1" w14:textId="2C2F1BD9" w:rsidR="000605A2" w:rsidRPr="00C16988" w:rsidRDefault="00494476" w:rsidP="00C16988">
          <w:pPr>
            <w:pStyle w:val="lfej"/>
            <w:spacing w:after="120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739E9DE" wp14:editId="1E4730FD">
                <wp:extent cx="609600" cy="33337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FBABA4" w14:textId="77777777" w:rsidR="00ED4F3C" w:rsidRPr="008D6B04" w:rsidRDefault="00ED4F3C" w:rsidP="0099706E">
    <w:pPr>
      <w:pStyle w:val="lfej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6D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ED6C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1F3B1B"/>
    <w:multiLevelType w:val="multilevel"/>
    <w:tmpl w:val="88D48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A4766"/>
    <w:multiLevelType w:val="multilevel"/>
    <w:tmpl w:val="0EA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65E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2C5486B"/>
    <w:multiLevelType w:val="multilevel"/>
    <w:tmpl w:val="0409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DD23B72"/>
    <w:multiLevelType w:val="multilevel"/>
    <w:tmpl w:val="926C9B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41279A"/>
    <w:multiLevelType w:val="hybridMultilevel"/>
    <w:tmpl w:val="E4F0666A"/>
    <w:lvl w:ilvl="0" w:tplc="E9A62AAA">
      <w:start w:val="1"/>
      <w:numFmt w:val="bullet"/>
      <w:pStyle w:val="Listaszerbekezds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E2007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503BF"/>
    <w:multiLevelType w:val="multilevel"/>
    <w:tmpl w:val="CCF8F8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8078D4"/>
    <w:multiLevelType w:val="multilevel"/>
    <w:tmpl w:val="D85E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A65AA"/>
    <w:multiLevelType w:val="hybridMultilevel"/>
    <w:tmpl w:val="D91A4AB6"/>
    <w:lvl w:ilvl="0" w:tplc="31F87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27710"/>
    <w:multiLevelType w:val="multilevel"/>
    <w:tmpl w:val="EC2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B79C7"/>
    <w:multiLevelType w:val="hybridMultilevel"/>
    <w:tmpl w:val="575836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807B4"/>
    <w:multiLevelType w:val="multilevel"/>
    <w:tmpl w:val="98C6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AF"/>
    <w:rsid w:val="00002272"/>
    <w:rsid w:val="00036B0E"/>
    <w:rsid w:val="00042CDB"/>
    <w:rsid w:val="0004329D"/>
    <w:rsid w:val="0004771F"/>
    <w:rsid w:val="000605A2"/>
    <w:rsid w:val="000820D7"/>
    <w:rsid w:val="000B2E96"/>
    <w:rsid w:val="000C0C0B"/>
    <w:rsid w:val="000C61AF"/>
    <w:rsid w:val="000E0C37"/>
    <w:rsid w:val="0013237E"/>
    <w:rsid w:val="00142A0A"/>
    <w:rsid w:val="001436FA"/>
    <w:rsid w:val="00154906"/>
    <w:rsid w:val="00154F5C"/>
    <w:rsid w:val="0015757F"/>
    <w:rsid w:val="001917E5"/>
    <w:rsid w:val="001B397B"/>
    <w:rsid w:val="001F56E7"/>
    <w:rsid w:val="00207F09"/>
    <w:rsid w:val="00214BDC"/>
    <w:rsid w:val="0021521F"/>
    <w:rsid w:val="002219E7"/>
    <w:rsid w:val="00225441"/>
    <w:rsid w:val="002307F4"/>
    <w:rsid w:val="00240B48"/>
    <w:rsid w:val="00242CD5"/>
    <w:rsid w:val="002510DD"/>
    <w:rsid w:val="00282C32"/>
    <w:rsid w:val="00284285"/>
    <w:rsid w:val="002954C3"/>
    <w:rsid w:val="002B0856"/>
    <w:rsid w:val="002B4107"/>
    <w:rsid w:val="002D44F0"/>
    <w:rsid w:val="002D6549"/>
    <w:rsid w:val="002F13E5"/>
    <w:rsid w:val="00310955"/>
    <w:rsid w:val="00321D5A"/>
    <w:rsid w:val="003732E4"/>
    <w:rsid w:val="00396153"/>
    <w:rsid w:val="003A58DA"/>
    <w:rsid w:val="003D202F"/>
    <w:rsid w:val="00431B79"/>
    <w:rsid w:val="004551E5"/>
    <w:rsid w:val="00460507"/>
    <w:rsid w:val="004800FA"/>
    <w:rsid w:val="004905AF"/>
    <w:rsid w:val="00494476"/>
    <w:rsid w:val="004A41DD"/>
    <w:rsid w:val="004A6CBE"/>
    <w:rsid w:val="004B738D"/>
    <w:rsid w:val="004D7C0F"/>
    <w:rsid w:val="004F04A3"/>
    <w:rsid w:val="004F149F"/>
    <w:rsid w:val="00502109"/>
    <w:rsid w:val="00513667"/>
    <w:rsid w:val="00522CC6"/>
    <w:rsid w:val="00536B74"/>
    <w:rsid w:val="005565BD"/>
    <w:rsid w:val="00562618"/>
    <w:rsid w:val="00586FAC"/>
    <w:rsid w:val="00590508"/>
    <w:rsid w:val="00591BEC"/>
    <w:rsid w:val="005B0D6D"/>
    <w:rsid w:val="005B605F"/>
    <w:rsid w:val="005C7A32"/>
    <w:rsid w:val="005E223E"/>
    <w:rsid w:val="00610295"/>
    <w:rsid w:val="0061456A"/>
    <w:rsid w:val="00631814"/>
    <w:rsid w:val="00651833"/>
    <w:rsid w:val="006576F5"/>
    <w:rsid w:val="00662020"/>
    <w:rsid w:val="00684856"/>
    <w:rsid w:val="0069123F"/>
    <w:rsid w:val="006A321A"/>
    <w:rsid w:val="006B48CD"/>
    <w:rsid w:val="006C3F4D"/>
    <w:rsid w:val="006F4092"/>
    <w:rsid w:val="006F4C87"/>
    <w:rsid w:val="006F5245"/>
    <w:rsid w:val="0070203B"/>
    <w:rsid w:val="00710481"/>
    <w:rsid w:val="007147D8"/>
    <w:rsid w:val="00726D1B"/>
    <w:rsid w:val="0077531E"/>
    <w:rsid w:val="007A319D"/>
    <w:rsid w:val="00804EDF"/>
    <w:rsid w:val="00834041"/>
    <w:rsid w:val="00844586"/>
    <w:rsid w:val="0084469B"/>
    <w:rsid w:val="00863DE9"/>
    <w:rsid w:val="008675D1"/>
    <w:rsid w:val="00867A1D"/>
    <w:rsid w:val="00875320"/>
    <w:rsid w:val="008B1058"/>
    <w:rsid w:val="008B5C08"/>
    <w:rsid w:val="008C30EA"/>
    <w:rsid w:val="008D6B04"/>
    <w:rsid w:val="008E294C"/>
    <w:rsid w:val="008F343B"/>
    <w:rsid w:val="008F632C"/>
    <w:rsid w:val="008F759F"/>
    <w:rsid w:val="009024AA"/>
    <w:rsid w:val="009039F7"/>
    <w:rsid w:val="00911446"/>
    <w:rsid w:val="00913C76"/>
    <w:rsid w:val="009159EE"/>
    <w:rsid w:val="00943EE4"/>
    <w:rsid w:val="009469C8"/>
    <w:rsid w:val="00946A13"/>
    <w:rsid w:val="00951B04"/>
    <w:rsid w:val="00952301"/>
    <w:rsid w:val="00983EAE"/>
    <w:rsid w:val="00987E61"/>
    <w:rsid w:val="0099706E"/>
    <w:rsid w:val="009B673F"/>
    <w:rsid w:val="009C30BB"/>
    <w:rsid w:val="009D5651"/>
    <w:rsid w:val="009E4094"/>
    <w:rsid w:val="009F467B"/>
    <w:rsid w:val="00A2196B"/>
    <w:rsid w:val="00A24442"/>
    <w:rsid w:val="00A360B8"/>
    <w:rsid w:val="00A4134A"/>
    <w:rsid w:val="00A5796B"/>
    <w:rsid w:val="00A635A8"/>
    <w:rsid w:val="00A67B1D"/>
    <w:rsid w:val="00A7413B"/>
    <w:rsid w:val="00A76F54"/>
    <w:rsid w:val="00A8776B"/>
    <w:rsid w:val="00AA0096"/>
    <w:rsid w:val="00AB69BC"/>
    <w:rsid w:val="00AD1BF5"/>
    <w:rsid w:val="00AD31F5"/>
    <w:rsid w:val="00AE237B"/>
    <w:rsid w:val="00AE28C4"/>
    <w:rsid w:val="00B11608"/>
    <w:rsid w:val="00B23515"/>
    <w:rsid w:val="00B24968"/>
    <w:rsid w:val="00B56FB3"/>
    <w:rsid w:val="00B617EA"/>
    <w:rsid w:val="00B64DB3"/>
    <w:rsid w:val="00B761E7"/>
    <w:rsid w:val="00B76DD8"/>
    <w:rsid w:val="00B803DA"/>
    <w:rsid w:val="00B8799B"/>
    <w:rsid w:val="00BA535D"/>
    <w:rsid w:val="00BA554A"/>
    <w:rsid w:val="00BC1A15"/>
    <w:rsid w:val="00BD2BDC"/>
    <w:rsid w:val="00BE18B0"/>
    <w:rsid w:val="00BF7F26"/>
    <w:rsid w:val="00C04183"/>
    <w:rsid w:val="00C16988"/>
    <w:rsid w:val="00C2350A"/>
    <w:rsid w:val="00C26A58"/>
    <w:rsid w:val="00C364D4"/>
    <w:rsid w:val="00C65F00"/>
    <w:rsid w:val="00C77C75"/>
    <w:rsid w:val="00C92E4D"/>
    <w:rsid w:val="00C96B9C"/>
    <w:rsid w:val="00CB0D71"/>
    <w:rsid w:val="00CB670D"/>
    <w:rsid w:val="00CC474B"/>
    <w:rsid w:val="00CE18BF"/>
    <w:rsid w:val="00CF2E51"/>
    <w:rsid w:val="00CF5B5A"/>
    <w:rsid w:val="00D007ED"/>
    <w:rsid w:val="00D13717"/>
    <w:rsid w:val="00D661FE"/>
    <w:rsid w:val="00D70B10"/>
    <w:rsid w:val="00D72173"/>
    <w:rsid w:val="00D746A5"/>
    <w:rsid w:val="00D94459"/>
    <w:rsid w:val="00DA21AD"/>
    <w:rsid w:val="00DC2B32"/>
    <w:rsid w:val="00DE4551"/>
    <w:rsid w:val="00DF6655"/>
    <w:rsid w:val="00E227FC"/>
    <w:rsid w:val="00E24BC8"/>
    <w:rsid w:val="00E44052"/>
    <w:rsid w:val="00E50E4D"/>
    <w:rsid w:val="00E5494B"/>
    <w:rsid w:val="00E90E50"/>
    <w:rsid w:val="00EA661E"/>
    <w:rsid w:val="00ED4F3C"/>
    <w:rsid w:val="00F033AF"/>
    <w:rsid w:val="00F07042"/>
    <w:rsid w:val="00F11A20"/>
    <w:rsid w:val="00F2194A"/>
    <w:rsid w:val="00F6206B"/>
    <w:rsid w:val="00F70084"/>
    <w:rsid w:val="00F812C8"/>
    <w:rsid w:val="00F81F9B"/>
    <w:rsid w:val="00F90482"/>
    <w:rsid w:val="00F90609"/>
    <w:rsid w:val="00F96C01"/>
    <w:rsid w:val="00FB2A20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99D1E-4413-4556-AF0B-05F45B1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834041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34041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34041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34041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83404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834041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834041"/>
    <w:pPr>
      <w:numPr>
        <w:ilvl w:val="6"/>
        <w:numId w:val="5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834041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83404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60507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A2196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9706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99706E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99706E"/>
  </w:style>
  <w:style w:type="character" w:styleId="Jegyzethivatkozs">
    <w:name w:val="annotation reference"/>
    <w:uiPriority w:val="99"/>
    <w:semiHidden/>
    <w:unhideWhenUsed/>
    <w:rsid w:val="00D721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217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7217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217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72173"/>
    <w:rPr>
      <w:b/>
      <w:bCs/>
      <w:lang w:val="en-US" w:eastAsia="en-US"/>
    </w:rPr>
  </w:style>
  <w:style w:type="paragraph" w:styleId="Listaszerbekezds">
    <w:name w:val="List Paragraph"/>
    <w:basedOn w:val="Norml"/>
    <w:uiPriority w:val="34"/>
    <w:qFormat/>
    <w:rsid w:val="00240B48"/>
    <w:pPr>
      <w:numPr>
        <w:numId w:val="14"/>
      </w:numPr>
    </w:pPr>
  </w:style>
  <w:style w:type="table" w:styleId="Rcsostblzat">
    <w:name w:val="Table Grid"/>
    <w:basedOn w:val="Normltblzat"/>
    <w:uiPriority w:val="59"/>
    <w:rsid w:val="0006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88E4-080A-4419-908E-DEC5D12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ENERGIAPOLITIKA</vt:lpstr>
      <vt:lpstr>ENERGIAPOLITIKA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ENERGIAPOLITIKA</dc:title>
  <dc:subject/>
  <dc:creator>Dataplex</dc:creator>
  <cp:keywords/>
  <cp:lastModifiedBy>Kékedi Bertalan</cp:lastModifiedBy>
  <cp:revision>2</cp:revision>
  <cp:lastPrinted>2017-01-16T07:36:00Z</cp:lastPrinted>
  <dcterms:created xsi:type="dcterms:W3CDTF">2021-01-19T14:07:00Z</dcterms:created>
  <dcterms:modified xsi:type="dcterms:W3CDTF">2021-01-19T14:07:00Z</dcterms:modified>
</cp:coreProperties>
</file>